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73"/>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3A154A" w:rsidTr="003A154A">
        <w:trPr>
          <w:trHeight w:val="1489"/>
        </w:trPr>
        <w:tc>
          <w:tcPr>
            <w:tcW w:w="1559" w:type="dxa"/>
          </w:tcPr>
          <w:p w:rsidR="003A154A" w:rsidRDefault="003A154A" w:rsidP="003A154A">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1"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3A154A" w:rsidRDefault="003A154A" w:rsidP="003A154A">
            <w:pPr>
              <w:pStyle w:val="NoSpacing"/>
              <w:rPr>
                <w:rFonts w:ascii="Verdana" w:hAnsi="Verdana"/>
                <w:sz w:val="24"/>
                <w:szCs w:val="24"/>
              </w:rPr>
            </w:pPr>
          </w:p>
          <w:p w:rsidR="003A154A" w:rsidRDefault="003A154A" w:rsidP="003A154A">
            <w:pPr>
              <w:pStyle w:val="NoSpacing"/>
              <w:rPr>
                <w:rFonts w:ascii="Verdana" w:hAnsi="Verdana"/>
                <w:sz w:val="24"/>
                <w:szCs w:val="24"/>
              </w:rPr>
            </w:pPr>
          </w:p>
        </w:tc>
        <w:tc>
          <w:tcPr>
            <w:tcW w:w="8222" w:type="dxa"/>
          </w:tcPr>
          <w:p w:rsidR="003A154A" w:rsidRPr="00A968B6" w:rsidRDefault="003A154A" w:rsidP="003A154A">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2"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3A154A" w:rsidRPr="00A968B6" w:rsidRDefault="003A154A" w:rsidP="003A154A">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3A154A" w:rsidRPr="00A968B6" w:rsidRDefault="003A154A" w:rsidP="003A154A">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3A154A" w:rsidRPr="00B50756" w:rsidRDefault="003A154A" w:rsidP="003A154A">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3A154A" w:rsidRPr="00A968B6" w:rsidRDefault="003A154A" w:rsidP="003A154A">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3A154A" w:rsidRDefault="003A154A" w:rsidP="003A154A">
            <w:pPr>
              <w:pStyle w:val="NoSpacing"/>
              <w:jc w:val="center"/>
              <w:rPr>
                <w:rFonts w:ascii="Verdana" w:hAnsi="Verdana"/>
                <w:sz w:val="24"/>
                <w:szCs w:val="24"/>
              </w:rPr>
            </w:pPr>
          </w:p>
        </w:tc>
      </w:tr>
    </w:tbl>
    <w:p w:rsidR="00160B9F" w:rsidRDefault="00170534" w:rsidP="00EC1205">
      <w:pPr>
        <w:ind w:left="-567"/>
        <w:jc w:val="both"/>
        <w:rPr>
          <w:rFonts w:ascii="Times New Roman" w:hAnsi="Times New Roman" w:cs="Times New Roman"/>
          <w:noProof/>
          <w:lang w:val="en-US" w:bidi="te-IN"/>
        </w:rPr>
      </w:pPr>
      <w:r w:rsidRPr="00170534">
        <w:rPr>
          <w:rFonts w:ascii="Verdana" w:hAnsi="Verdana"/>
          <w:noProof/>
          <w:sz w:val="24"/>
          <w:szCs w:val="24"/>
          <w:lang w:eastAsia="en-IN"/>
        </w:rPr>
        <w:pict>
          <v:shapetype id="_x0000_t32" coordsize="21600,21600" o:spt="32" o:oned="t" path="m,l21600,21600e" filled="f">
            <v:path arrowok="t" fillok="f" o:connecttype="none"/>
            <o:lock v:ext="edit" shapetype="t"/>
          </v:shapetype>
          <v:shape id="_x0000_s1026" type="#_x0000_t32" style="position:absolute;left:0;text-align:left;margin-left:-86.45pt;margin-top:113.3pt;width:611.05pt;height:0;z-index:251662336;mso-position-horizontal-relative:text;mso-position-vertical-relative:text" o:connectortype="straight" strokecolor="blue" strokeweight="1.5pt"/>
        </w:pict>
      </w:r>
    </w:p>
    <w:p w:rsidR="00160B9F" w:rsidRPr="00EC1205" w:rsidRDefault="00160B9F" w:rsidP="00EC1205">
      <w:pPr>
        <w:jc w:val="both"/>
        <w:rPr>
          <w:rFonts w:ascii="Times New Roman" w:hAnsi="Times New Roman" w:cs="Times New Roman"/>
          <w:b/>
          <w:bCs/>
          <w:sz w:val="24"/>
          <w:szCs w:val="24"/>
          <w:u w:val="single"/>
        </w:rPr>
      </w:pPr>
    </w:p>
    <w:p w:rsidR="00494F9B" w:rsidRPr="00EC1205" w:rsidRDefault="00EC1205" w:rsidP="00EC1205">
      <w:pPr>
        <w:jc w:val="center"/>
        <w:rPr>
          <w:rFonts w:ascii="Times New Roman" w:hAnsi="Times New Roman" w:cs="Times New Roman"/>
          <w:b/>
          <w:bCs/>
          <w:sz w:val="28"/>
          <w:szCs w:val="28"/>
          <w:u w:val="single"/>
        </w:rPr>
      </w:pPr>
      <w:r w:rsidRPr="00EC1205">
        <w:rPr>
          <w:rFonts w:ascii="Times New Roman" w:hAnsi="Times New Roman" w:cs="Times New Roman"/>
          <w:b/>
          <w:bCs/>
          <w:sz w:val="28"/>
          <w:szCs w:val="28"/>
          <w:u w:val="single"/>
        </w:rPr>
        <w:t>PROVIDENT FUND</w:t>
      </w:r>
      <w:r w:rsidR="005F14DF" w:rsidRPr="00EC1205">
        <w:rPr>
          <w:rFonts w:ascii="Times New Roman" w:hAnsi="Times New Roman" w:cs="Times New Roman"/>
          <w:b/>
          <w:bCs/>
          <w:sz w:val="28"/>
          <w:szCs w:val="28"/>
          <w:u w:val="single"/>
        </w:rPr>
        <w:t xml:space="preserve"> POLICY</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1. Objective</w:t>
      </w:r>
    </w:p>
    <w:p w:rsidR="00EC1205" w:rsidRPr="00EC1205" w:rsidRDefault="00EC1205" w:rsidP="00EC1205">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 xml:space="preserve">The objective of this policy is to outline the provisions and procedures for the Provident Fund (PF) scheme at </w:t>
      </w:r>
      <w:r>
        <w:rPr>
          <w:rFonts w:ascii="Times New Roman" w:eastAsia="Times New Roman" w:hAnsi="Times New Roman" w:cs="Times New Roman"/>
          <w:kern w:val="0"/>
          <w:sz w:val="24"/>
          <w:szCs w:val="24"/>
          <w:lang w:eastAsia="en-IN"/>
        </w:rPr>
        <w:t xml:space="preserve">Joginpally </w:t>
      </w:r>
      <w:r w:rsidR="00C5231A">
        <w:rPr>
          <w:rFonts w:ascii="Times New Roman" w:eastAsia="Times New Roman" w:hAnsi="Times New Roman" w:cs="Times New Roman"/>
          <w:kern w:val="0"/>
          <w:sz w:val="24"/>
          <w:szCs w:val="24"/>
          <w:lang w:eastAsia="en-IN"/>
        </w:rPr>
        <w:t>RIET</w:t>
      </w:r>
      <w:r w:rsidRPr="00EC1205">
        <w:rPr>
          <w:rFonts w:ascii="Times New Roman" w:eastAsia="Times New Roman" w:hAnsi="Times New Roman" w:cs="Times New Roman"/>
          <w:kern w:val="0"/>
          <w:sz w:val="24"/>
          <w:szCs w:val="24"/>
          <w:lang w:eastAsia="en-IN"/>
        </w:rPr>
        <w:t>, ensuring financial security and benefits for employees upon retirement or in the event of unforeseen circumstances.</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2. Scope</w:t>
      </w:r>
    </w:p>
    <w:p w:rsidR="00EC1205" w:rsidRPr="00EC1205" w:rsidRDefault="00EC1205" w:rsidP="00EC1205">
      <w:p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 xml:space="preserve">This policy applies to all </w:t>
      </w:r>
      <w:r>
        <w:rPr>
          <w:rFonts w:ascii="Times New Roman" w:eastAsia="Times New Roman" w:hAnsi="Times New Roman" w:cs="Times New Roman"/>
          <w:kern w:val="0"/>
          <w:sz w:val="24"/>
          <w:szCs w:val="24"/>
          <w:lang w:eastAsia="en-IN"/>
        </w:rPr>
        <w:t>the</w:t>
      </w:r>
      <w:r w:rsidRPr="00EC1205">
        <w:rPr>
          <w:rFonts w:ascii="Times New Roman" w:eastAsia="Times New Roman" w:hAnsi="Times New Roman" w:cs="Times New Roman"/>
          <w:kern w:val="0"/>
          <w:sz w:val="24"/>
          <w:szCs w:val="24"/>
          <w:lang w:eastAsia="en-IN"/>
        </w:rPr>
        <w:t xml:space="preserve"> employees of </w:t>
      </w:r>
      <w:r w:rsidR="00C5231A">
        <w:rPr>
          <w:rFonts w:ascii="Times New Roman" w:eastAsia="Times New Roman" w:hAnsi="Times New Roman" w:cs="Times New Roman"/>
          <w:kern w:val="0"/>
          <w:sz w:val="24"/>
          <w:szCs w:val="24"/>
          <w:lang w:eastAsia="en-IN"/>
        </w:rPr>
        <w:t>RIET</w:t>
      </w:r>
      <w:r>
        <w:rPr>
          <w:rFonts w:ascii="Times New Roman" w:eastAsia="Times New Roman" w:hAnsi="Times New Roman" w:cs="Times New Roman"/>
          <w:kern w:val="0"/>
          <w:sz w:val="24"/>
          <w:szCs w:val="24"/>
          <w:lang w:eastAsia="en-IN"/>
        </w:rPr>
        <w:t>.</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3. Eligibility</w:t>
      </w:r>
    </w:p>
    <w:p w:rsidR="00EC1205" w:rsidRPr="00EC1205" w:rsidRDefault="00EC1205" w:rsidP="00EC1205">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 xml:space="preserve">All employees who have completed a minimum of six months of continuous service with </w:t>
      </w:r>
      <w:r w:rsidR="00C5231A">
        <w:rPr>
          <w:rFonts w:ascii="Times New Roman" w:eastAsia="Times New Roman" w:hAnsi="Times New Roman" w:cs="Times New Roman"/>
          <w:kern w:val="0"/>
          <w:sz w:val="24"/>
          <w:szCs w:val="24"/>
          <w:lang w:eastAsia="en-IN"/>
        </w:rPr>
        <w:t>RIET</w:t>
      </w:r>
      <w:r w:rsidRPr="00EC1205">
        <w:rPr>
          <w:rFonts w:ascii="Times New Roman" w:eastAsia="Times New Roman" w:hAnsi="Times New Roman" w:cs="Times New Roman"/>
          <w:kern w:val="0"/>
          <w:sz w:val="24"/>
          <w:szCs w:val="24"/>
          <w:lang w:eastAsia="en-IN"/>
        </w:rPr>
        <w:t xml:space="preserve"> are eligible to participate in the Provident Fund scheme.</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4. Contributions</w:t>
      </w:r>
    </w:p>
    <w:p w:rsidR="00EC1205" w:rsidRPr="00EC1205" w:rsidRDefault="00EC1205" w:rsidP="00EC1205">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Employee Contribution</w:t>
      </w:r>
      <w:r w:rsidRPr="00EC1205">
        <w:rPr>
          <w:rFonts w:ascii="Times New Roman" w:eastAsia="Times New Roman" w:hAnsi="Times New Roman" w:cs="Times New Roman"/>
          <w:kern w:val="0"/>
          <w:sz w:val="24"/>
          <w:szCs w:val="24"/>
          <w:lang w:eastAsia="en-IN"/>
        </w:rPr>
        <w:t>: Employees are required to contribute a minimum of 12% of their basic salary to the Provident Fund each month.</w:t>
      </w:r>
    </w:p>
    <w:p w:rsidR="00EC1205" w:rsidRPr="00EC1205" w:rsidRDefault="00EC1205" w:rsidP="00EC1205">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Employer Contribution</w:t>
      </w:r>
      <w:r w:rsidRPr="00EC1205">
        <w:rPr>
          <w:rFonts w:ascii="Times New Roman" w:eastAsia="Times New Roman" w:hAnsi="Times New Roman" w:cs="Times New Roman"/>
          <w:kern w:val="0"/>
          <w:sz w:val="24"/>
          <w:szCs w:val="24"/>
          <w:lang w:eastAsia="en-IN"/>
        </w:rPr>
        <w:t xml:space="preserve">: </w:t>
      </w:r>
      <w:r w:rsidR="00C5231A">
        <w:rPr>
          <w:rFonts w:ascii="Times New Roman" w:eastAsia="Times New Roman" w:hAnsi="Times New Roman" w:cs="Times New Roman"/>
          <w:kern w:val="0"/>
          <w:sz w:val="24"/>
          <w:szCs w:val="24"/>
          <w:lang w:eastAsia="en-IN"/>
        </w:rPr>
        <w:t>RIET</w:t>
      </w:r>
      <w:r w:rsidRPr="00EC1205">
        <w:rPr>
          <w:rFonts w:ascii="Times New Roman" w:eastAsia="Times New Roman" w:hAnsi="Times New Roman" w:cs="Times New Roman"/>
          <w:kern w:val="0"/>
          <w:sz w:val="24"/>
          <w:szCs w:val="24"/>
          <w:lang w:eastAsia="en-IN"/>
        </w:rPr>
        <w:t xml:space="preserve"> will contribute an amount equal to 12% of the employee’s basic salary to the Provident Fund each month.</w:t>
      </w:r>
    </w:p>
    <w:p w:rsidR="00EC1205" w:rsidRPr="00EC1205" w:rsidRDefault="00EC1205" w:rsidP="00EC1205">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Voluntary Contributions</w:t>
      </w:r>
      <w:r w:rsidRPr="00EC1205">
        <w:rPr>
          <w:rFonts w:ascii="Times New Roman" w:eastAsia="Times New Roman" w:hAnsi="Times New Roman" w:cs="Times New Roman"/>
          <w:kern w:val="0"/>
          <w:sz w:val="24"/>
          <w:szCs w:val="24"/>
          <w:lang w:eastAsia="en-IN"/>
        </w:rPr>
        <w:t>: Employees may choose to contribute an additional amount over and above the mandatory 12% of their basic salary. However, the college’s contribution will remain fixed at 12%.</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5. Fund Management</w:t>
      </w:r>
    </w:p>
    <w:p w:rsidR="00EC1205" w:rsidRPr="00EC1205" w:rsidRDefault="00EC1205" w:rsidP="00EC1205">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The Provident Fund will be managed by a designated Provident Fund Trust or a recognized Provident Fund management authority in compliance with relevant statutory regulations.</w:t>
      </w:r>
    </w:p>
    <w:p w:rsidR="00EC1205" w:rsidRPr="00EC1205" w:rsidRDefault="00EC1205" w:rsidP="00DE5907">
      <w:pPr>
        <w:numPr>
          <w:ilvl w:val="0"/>
          <w:numId w:val="24"/>
        </w:numPr>
        <w:spacing w:before="240"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The funds will be invested in a diversified portfolio to ensure safety and reasonable returns on the contributions.</w:t>
      </w:r>
    </w:p>
    <w:p w:rsidR="00EC1205" w:rsidRPr="00EC1205" w:rsidRDefault="00EC1205" w:rsidP="00DE5907">
      <w:pPr>
        <w:spacing w:after="0"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6. Withdrawals</w:t>
      </w:r>
    </w:p>
    <w:p w:rsidR="00EC1205" w:rsidRPr="00EC1205" w:rsidRDefault="00EC1205" w:rsidP="00DE5907">
      <w:pPr>
        <w:numPr>
          <w:ilvl w:val="0"/>
          <w:numId w:val="25"/>
        </w:numPr>
        <w:spacing w:after="0"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Retirement</w:t>
      </w:r>
      <w:r w:rsidRPr="00EC1205">
        <w:rPr>
          <w:rFonts w:ascii="Times New Roman" w:eastAsia="Times New Roman" w:hAnsi="Times New Roman" w:cs="Times New Roman"/>
          <w:kern w:val="0"/>
          <w:sz w:val="24"/>
          <w:szCs w:val="24"/>
          <w:lang w:eastAsia="en-IN"/>
        </w:rPr>
        <w:t>: Employees can withdraw the full amount accumulated in their Provident Fund account upon retirement, which is typically at the age of 58.</w:t>
      </w:r>
    </w:p>
    <w:p w:rsidR="00EC1205" w:rsidRPr="00EC1205" w:rsidRDefault="00EC1205" w:rsidP="00DE5907">
      <w:pPr>
        <w:numPr>
          <w:ilvl w:val="0"/>
          <w:numId w:val="25"/>
        </w:numPr>
        <w:spacing w:after="0"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Early Withdrawals</w:t>
      </w:r>
      <w:r w:rsidRPr="00EC1205">
        <w:rPr>
          <w:rFonts w:ascii="Times New Roman" w:eastAsia="Times New Roman" w:hAnsi="Times New Roman" w:cs="Times New Roman"/>
          <w:kern w:val="0"/>
          <w:sz w:val="24"/>
          <w:szCs w:val="24"/>
          <w:lang w:eastAsia="en-IN"/>
        </w:rPr>
        <w:t>: Employees may be allowed to make partial withdrawals or advances from their Provident Fund account before retirement under specific conditions, such as:</w:t>
      </w:r>
    </w:p>
    <w:p w:rsidR="00EC1205" w:rsidRPr="00EC1205" w:rsidRDefault="00EC1205" w:rsidP="00DE5907">
      <w:pPr>
        <w:numPr>
          <w:ilvl w:val="1"/>
          <w:numId w:val="25"/>
        </w:numPr>
        <w:spacing w:after="0"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Medical emergencies for self or dependents</w:t>
      </w:r>
    </w:p>
    <w:p w:rsidR="00EC1205" w:rsidRPr="00EC1205" w:rsidRDefault="00EC1205" w:rsidP="00EC1205">
      <w:pPr>
        <w:numPr>
          <w:ilvl w:val="1"/>
          <w:numId w:val="25"/>
        </w:numPr>
        <w:spacing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Purchase or construction of a home</w:t>
      </w:r>
    </w:p>
    <w:p w:rsidR="00EC1205" w:rsidRPr="00EC1205" w:rsidRDefault="00EC1205" w:rsidP="00EC1205">
      <w:pPr>
        <w:numPr>
          <w:ilvl w:val="1"/>
          <w:numId w:val="25"/>
        </w:numPr>
        <w:spacing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Higher education expenses for self or dependents</w:t>
      </w:r>
    </w:p>
    <w:p w:rsidR="00EC1205" w:rsidRPr="00EC1205" w:rsidRDefault="00EC1205" w:rsidP="00EC1205">
      <w:pPr>
        <w:numPr>
          <w:ilvl w:val="1"/>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lastRenderedPageBreak/>
        <w:t>Marriage expenses of self or dependents</w:t>
      </w:r>
    </w:p>
    <w:p w:rsidR="0052531D" w:rsidRPr="0052531D" w:rsidRDefault="0052531D" w:rsidP="0052531D">
      <w:pPr>
        <w:spacing w:before="100" w:beforeAutospacing="1" w:after="100" w:afterAutospacing="1" w:line="240" w:lineRule="auto"/>
        <w:ind w:left="360"/>
        <w:jc w:val="both"/>
        <w:rPr>
          <w:rFonts w:ascii="Times New Roman" w:eastAsia="Times New Roman" w:hAnsi="Times New Roman" w:cs="Times New Roman"/>
          <w:kern w:val="0"/>
          <w:sz w:val="24"/>
          <w:szCs w:val="24"/>
          <w:lang w:eastAsia="en-IN"/>
        </w:rPr>
      </w:pPr>
    </w:p>
    <w:p w:rsidR="00EC1205" w:rsidRPr="00EC1205" w:rsidRDefault="00EC1205" w:rsidP="00EC1205">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b/>
          <w:bCs/>
          <w:kern w:val="0"/>
          <w:sz w:val="24"/>
          <w:szCs w:val="24"/>
          <w:lang w:eastAsia="en-IN"/>
        </w:rPr>
        <w:t>Termination of Employment</w:t>
      </w:r>
      <w:r w:rsidRPr="00EC1205">
        <w:rPr>
          <w:rFonts w:ascii="Times New Roman" w:eastAsia="Times New Roman" w:hAnsi="Times New Roman" w:cs="Times New Roman"/>
          <w:kern w:val="0"/>
          <w:sz w:val="24"/>
          <w:szCs w:val="24"/>
          <w:lang w:eastAsia="en-IN"/>
        </w:rPr>
        <w:t>: Upon termination or resignation, employees can withdraw the entire amount accumulated in their Provident Fund account after a specified waiting period, as per the statutory regulations.</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7. Nomination</w:t>
      </w:r>
    </w:p>
    <w:p w:rsidR="00EC1205" w:rsidRPr="00EC1205" w:rsidRDefault="00EC1205" w:rsidP="00EC1205">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Employees are required to nominate one or more beneficiaries who will receive the Provident Fund benefits in the event of the employee’s demise.</w:t>
      </w:r>
    </w:p>
    <w:p w:rsidR="00EC1205" w:rsidRPr="00EC1205" w:rsidRDefault="00EC1205" w:rsidP="00EC1205">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Employees can update their nominations at any time by submitting a written request to the HR Department.</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8. Taxation</w:t>
      </w:r>
    </w:p>
    <w:p w:rsidR="00EC1205" w:rsidRPr="00EC1205" w:rsidRDefault="00EC1205" w:rsidP="00EC1205">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Contributions made by employees to the Provident Fund are eligible for tax exemptions under relevant sections of the Income Tax Act.</w:t>
      </w:r>
    </w:p>
    <w:p w:rsidR="00EC1205" w:rsidRPr="00EC1205" w:rsidRDefault="00EC1205" w:rsidP="00EC1205">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Interest earned on the Provident Fund balance and withdrawals are also subject to tax regulations as per the prevailing laws.</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9. Account Statements</w:t>
      </w:r>
    </w:p>
    <w:p w:rsidR="00EC1205" w:rsidRPr="00EC1205" w:rsidRDefault="00EC1205" w:rsidP="00EC1205">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Employees will receive an annual statement of their Provident Fund account, detailing the contributions, interest earned, and the closing balance.</w:t>
      </w:r>
    </w:p>
    <w:p w:rsidR="00EC1205" w:rsidRPr="00EC1205" w:rsidRDefault="00EC1205" w:rsidP="00EC1205">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Employees can also request account statements from the HR Department as needed.</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10. Compliance and Grievance Redressal</w:t>
      </w:r>
    </w:p>
    <w:p w:rsidR="00EC1205" w:rsidRPr="00EC1205" w:rsidRDefault="00C5231A" w:rsidP="00EC1205">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RIET</w:t>
      </w:r>
      <w:r w:rsidR="00EC1205" w:rsidRPr="00EC1205">
        <w:rPr>
          <w:rFonts w:ascii="Times New Roman" w:eastAsia="Times New Roman" w:hAnsi="Times New Roman" w:cs="Times New Roman"/>
          <w:kern w:val="0"/>
          <w:sz w:val="24"/>
          <w:szCs w:val="24"/>
          <w:lang w:eastAsia="en-IN"/>
        </w:rPr>
        <w:t xml:space="preserve"> is committed to complying with all statutory regulations governing the Provident Fund.</w:t>
      </w:r>
    </w:p>
    <w:p w:rsidR="00EC1205" w:rsidRPr="00EC1205" w:rsidRDefault="00EC1205" w:rsidP="00EC1205">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Any grievances related to the Provident Fund should be reported to the HR Department, which will address and resolve the issues promptly.</w:t>
      </w:r>
    </w:p>
    <w:p w:rsidR="00EC1205" w:rsidRPr="00EC1205" w:rsidRDefault="00EC1205" w:rsidP="00EC1205">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rPr>
      </w:pPr>
      <w:r w:rsidRPr="00EC1205">
        <w:rPr>
          <w:rFonts w:ascii="Times New Roman" w:eastAsia="Times New Roman" w:hAnsi="Times New Roman" w:cs="Times New Roman"/>
          <w:b/>
          <w:bCs/>
          <w:kern w:val="0"/>
          <w:sz w:val="24"/>
          <w:szCs w:val="24"/>
          <w:lang w:eastAsia="en-IN"/>
        </w:rPr>
        <w:t>11. Review and Amendment</w:t>
      </w:r>
    </w:p>
    <w:p w:rsidR="00EC1205" w:rsidRPr="00EC1205" w:rsidRDefault="00EC1205" w:rsidP="00EC1205">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en-IN"/>
        </w:rPr>
      </w:pPr>
      <w:r w:rsidRPr="00EC1205">
        <w:rPr>
          <w:rFonts w:ascii="Times New Roman" w:eastAsia="Times New Roman" w:hAnsi="Times New Roman" w:cs="Times New Roman"/>
          <w:kern w:val="0"/>
          <w:sz w:val="24"/>
          <w:szCs w:val="24"/>
          <w:lang w:eastAsia="en-IN"/>
        </w:rPr>
        <w:t>This Provident Fund policy will be reviewed annually and may be amended as necessary to ensure compliance with legal requirements and to address the changing needs of the employees and the institution.</w:t>
      </w:r>
    </w:p>
    <w:p w:rsidR="005F14DF" w:rsidRPr="00EC1205" w:rsidRDefault="00EC1205" w:rsidP="00EC1205">
      <w:pPr>
        <w:jc w:val="both"/>
        <w:rPr>
          <w:rFonts w:ascii="Times New Roman" w:hAnsi="Times New Roman" w:cs="Times New Roman"/>
          <w:b/>
          <w:bCs/>
          <w:sz w:val="24"/>
          <w:szCs w:val="24"/>
        </w:rPr>
      </w:pPr>
      <w:r w:rsidRPr="00EC1205">
        <w:rPr>
          <w:rFonts w:ascii="Times New Roman" w:hAnsi="Times New Roman" w:cs="Times New Roman"/>
          <w:sz w:val="24"/>
          <w:szCs w:val="24"/>
        </w:rPr>
        <w:t xml:space="preserve">This policy document aims to provide financial security and benefits to employees through the Provident Fund scheme at </w:t>
      </w:r>
      <w:r w:rsidR="00C5231A">
        <w:rPr>
          <w:rFonts w:ascii="Times New Roman" w:eastAsia="Times New Roman" w:hAnsi="Times New Roman" w:cs="Times New Roman"/>
          <w:kern w:val="0"/>
          <w:sz w:val="24"/>
          <w:szCs w:val="24"/>
          <w:lang w:eastAsia="en-IN"/>
        </w:rPr>
        <w:t>RIET</w:t>
      </w:r>
      <w:r w:rsidRPr="00EC1205">
        <w:rPr>
          <w:rFonts w:ascii="Times New Roman" w:hAnsi="Times New Roman" w:cs="Times New Roman"/>
          <w:sz w:val="24"/>
          <w:szCs w:val="24"/>
        </w:rPr>
        <w:t>, ensuring a structured and compliant approach to retirement savings.</w:t>
      </w:r>
      <w:r w:rsidR="005F14DF" w:rsidRPr="00EC1205">
        <w:rPr>
          <w:rFonts w:ascii="Times New Roman" w:hAnsi="Times New Roman" w:cs="Times New Roman"/>
          <w:b/>
          <w:bCs/>
          <w:sz w:val="28"/>
          <w:szCs w:val="28"/>
        </w:rPr>
        <w:tab/>
      </w:r>
      <w:r w:rsidR="005F14DF" w:rsidRPr="00EC1205">
        <w:rPr>
          <w:rFonts w:ascii="Times New Roman" w:hAnsi="Times New Roman" w:cs="Times New Roman"/>
          <w:b/>
          <w:bCs/>
          <w:sz w:val="24"/>
          <w:szCs w:val="24"/>
        </w:rPr>
        <w:tab/>
      </w:r>
    </w:p>
    <w:p w:rsidR="009F522C" w:rsidRPr="00EC1205" w:rsidRDefault="009F522C" w:rsidP="00EC1205">
      <w:pPr>
        <w:ind w:firstLine="360"/>
        <w:jc w:val="both"/>
        <w:rPr>
          <w:rFonts w:ascii="Times New Roman" w:hAnsi="Times New Roman" w:cs="Times New Roman"/>
          <w:b/>
          <w:bCs/>
          <w:sz w:val="28"/>
          <w:szCs w:val="28"/>
        </w:rPr>
      </w:pPr>
    </w:p>
    <w:p w:rsidR="003216E5" w:rsidRPr="00EC1205" w:rsidRDefault="003216E5" w:rsidP="00EC1205">
      <w:pPr>
        <w:ind w:firstLine="360"/>
        <w:jc w:val="both"/>
        <w:rPr>
          <w:rFonts w:ascii="Times New Roman" w:hAnsi="Times New Roman" w:cs="Times New Roman"/>
          <w:b/>
          <w:bCs/>
          <w:sz w:val="28"/>
          <w:szCs w:val="28"/>
        </w:rPr>
      </w:pPr>
    </w:p>
    <w:p w:rsidR="005F14DF" w:rsidRPr="00EC1205" w:rsidRDefault="00202BA5" w:rsidP="00EC1205">
      <w:pPr>
        <w:ind w:firstLine="360"/>
        <w:jc w:val="right"/>
        <w:rPr>
          <w:rFonts w:ascii="Times New Roman" w:hAnsi="Times New Roman" w:cs="Times New Roman"/>
          <w:b/>
          <w:bCs/>
          <w:sz w:val="28"/>
          <w:szCs w:val="28"/>
        </w:rPr>
      </w:pPr>
      <w:r>
        <w:rPr>
          <w:rFonts w:ascii="Times New Roman" w:hAnsi="Times New Roman" w:cs="Times New Roman"/>
          <w:b/>
          <w:bCs/>
          <w:sz w:val="28"/>
          <w:szCs w:val="28"/>
        </w:rPr>
        <w:t>SECRETARY</w:t>
      </w:r>
    </w:p>
    <w:sectPr w:rsidR="005F14DF" w:rsidRPr="00EC1205" w:rsidSect="009F522C">
      <w:footerReference w:type="default" r:id="rId11"/>
      <w:pgSz w:w="11906" w:h="16838"/>
      <w:pgMar w:top="284" w:right="1440" w:bottom="284" w:left="1440" w:header="17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33" w:rsidRDefault="00C42F33" w:rsidP="005F14DF">
      <w:pPr>
        <w:spacing w:after="0" w:line="240" w:lineRule="auto"/>
      </w:pPr>
      <w:r>
        <w:separator/>
      </w:r>
    </w:p>
  </w:endnote>
  <w:endnote w:type="continuationSeparator" w:id="1">
    <w:p w:rsidR="00C42F33" w:rsidRDefault="00C42F33" w:rsidP="005F1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25912"/>
      <w:docPartObj>
        <w:docPartGallery w:val="Page Numbers (Bottom of Page)"/>
        <w:docPartUnique/>
      </w:docPartObj>
    </w:sdtPr>
    <w:sdtContent>
      <w:p w:rsidR="00DE5907" w:rsidRDefault="00DE5907">
        <w:pPr>
          <w:pStyle w:val="Footer"/>
          <w:jc w:val="center"/>
        </w:pPr>
        <w:fldSimple w:instr=" PAGE   \* MERGEFORMAT ">
          <w:r>
            <w:rPr>
              <w:noProof/>
            </w:rPr>
            <w:t>2</w:t>
          </w:r>
        </w:fldSimple>
      </w:p>
    </w:sdtContent>
  </w:sdt>
  <w:p w:rsidR="00DE5907" w:rsidRDefault="00DE5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33" w:rsidRDefault="00C42F33" w:rsidP="005F14DF">
      <w:pPr>
        <w:spacing w:after="0" w:line="240" w:lineRule="auto"/>
      </w:pPr>
      <w:r>
        <w:separator/>
      </w:r>
    </w:p>
  </w:footnote>
  <w:footnote w:type="continuationSeparator" w:id="1">
    <w:p w:rsidR="00C42F33" w:rsidRDefault="00C42F33" w:rsidP="005F1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1B7"/>
    <w:multiLevelType w:val="multilevel"/>
    <w:tmpl w:val="9AA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E21AA"/>
    <w:multiLevelType w:val="multilevel"/>
    <w:tmpl w:val="7354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65573"/>
    <w:multiLevelType w:val="multilevel"/>
    <w:tmpl w:val="A53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D23A7"/>
    <w:multiLevelType w:val="multilevel"/>
    <w:tmpl w:val="07B6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B6E2E"/>
    <w:multiLevelType w:val="multilevel"/>
    <w:tmpl w:val="5740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714E9"/>
    <w:multiLevelType w:val="multilevel"/>
    <w:tmpl w:val="D80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002AA"/>
    <w:multiLevelType w:val="multilevel"/>
    <w:tmpl w:val="D72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39EB"/>
    <w:multiLevelType w:val="multilevel"/>
    <w:tmpl w:val="4B1C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80198"/>
    <w:multiLevelType w:val="multilevel"/>
    <w:tmpl w:val="AEE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65CF2"/>
    <w:multiLevelType w:val="multilevel"/>
    <w:tmpl w:val="D9F6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E1DE1"/>
    <w:multiLevelType w:val="multilevel"/>
    <w:tmpl w:val="D65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372DB"/>
    <w:multiLevelType w:val="multilevel"/>
    <w:tmpl w:val="F61E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D3359"/>
    <w:multiLevelType w:val="multilevel"/>
    <w:tmpl w:val="1E6C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8202B"/>
    <w:multiLevelType w:val="multilevel"/>
    <w:tmpl w:val="A11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675E3"/>
    <w:multiLevelType w:val="multilevel"/>
    <w:tmpl w:val="C068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6E2E84"/>
    <w:multiLevelType w:val="multilevel"/>
    <w:tmpl w:val="91B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32AAF"/>
    <w:multiLevelType w:val="multilevel"/>
    <w:tmpl w:val="6B7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706AF8"/>
    <w:multiLevelType w:val="multilevel"/>
    <w:tmpl w:val="D1AE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035614"/>
    <w:multiLevelType w:val="multilevel"/>
    <w:tmpl w:val="1DB6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25E55"/>
    <w:multiLevelType w:val="multilevel"/>
    <w:tmpl w:val="513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C0BC1"/>
    <w:multiLevelType w:val="multilevel"/>
    <w:tmpl w:val="5D0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C36A7"/>
    <w:multiLevelType w:val="multilevel"/>
    <w:tmpl w:val="A4C0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C52A9"/>
    <w:multiLevelType w:val="multilevel"/>
    <w:tmpl w:val="C81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441D3"/>
    <w:multiLevelType w:val="hybridMultilevel"/>
    <w:tmpl w:val="93C8D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A25014"/>
    <w:multiLevelType w:val="multilevel"/>
    <w:tmpl w:val="9E7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D66AAA"/>
    <w:multiLevelType w:val="multilevel"/>
    <w:tmpl w:val="787E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075FFB"/>
    <w:multiLevelType w:val="multilevel"/>
    <w:tmpl w:val="EFBA4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E72A76"/>
    <w:multiLevelType w:val="multilevel"/>
    <w:tmpl w:val="7B4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FE2F60"/>
    <w:multiLevelType w:val="multilevel"/>
    <w:tmpl w:val="4D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C2CC8"/>
    <w:multiLevelType w:val="multilevel"/>
    <w:tmpl w:val="829E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F412C"/>
    <w:multiLevelType w:val="multilevel"/>
    <w:tmpl w:val="02B0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0"/>
  </w:num>
  <w:num w:numId="3">
    <w:abstractNumId w:val="16"/>
  </w:num>
  <w:num w:numId="4">
    <w:abstractNumId w:val="0"/>
  </w:num>
  <w:num w:numId="5">
    <w:abstractNumId w:val="17"/>
  </w:num>
  <w:num w:numId="6">
    <w:abstractNumId w:val="27"/>
  </w:num>
  <w:num w:numId="7">
    <w:abstractNumId w:val="13"/>
  </w:num>
  <w:num w:numId="8">
    <w:abstractNumId w:val="2"/>
  </w:num>
  <w:num w:numId="9">
    <w:abstractNumId w:val="29"/>
  </w:num>
  <w:num w:numId="10">
    <w:abstractNumId w:val="24"/>
  </w:num>
  <w:num w:numId="11">
    <w:abstractNumId w:val="10"/>
  </w:num>
  <w:num w:numId="12">
    <w:abstractNumId w:val="6"/>
  </w:num>
  <w:num w:numId="13">
    <w:abstractNumId w:val="20"/>
  </w:num>
  <w:num w:numId="14">
    <w:abstractNumId w:val="14"/>
  </w:num>
  <w:num w:numId="15">
    <w:abstractNumId w:val="19"/>
  </w:num>
  <w:num w:numId="16">
    <w:abstractNumId w:val="3"/>
  </w:num>
  <w:num w:numId="17">
    <w:abstractNumId w:val="11"/>
  </w:num>
  <w:num w:numId="18">
    <w:abstractNumId w:val="1"/>
  </w:num>
  <w:num w:numId="19">
    <w:abstractNumId w:val="21"/>
  </w:num>
  <w:num w:numId="20">
    <w:abstractNumId w:val="28"/>
  </w:num>
  <w:num w:numId="21">
    <w:abstractNumId w:val="8"/>
  </w:num>
  <w:num w:numId="22">
    <w:abstractNumId w:val="12"/>
  </w:num>
  <w:num w:numId="23">
    <w:abstractNumId w:val="7"/>
  </w:num>
  <w:num w:numId="24">
    <w:abstractNumId w:val="9"/>
  </w:num>
  <w:num w:numId="25">
    <w:abstractNumId w:val="26"/>
  </w:num>
  <w:num w:numId="26">
    <w:abstractNumId w:val="5"/>
  </w:num>
  <w:num w:numId="27">
    <w:abstractNumId w:val="18"/>
  </w:num>
  <w:num w:numId="28">
    <w:abstractNumId w:val="15"/>
  </w:num>
  <w:num w:numId="29">
    <w:abstractNumId w:val="22"/>
  </w:num>
  <w:num w:numId="30">
    <w:abstractNumId w:val="2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2232"/>
    <w:rsid w:val="000B1008"/>
    <w:rsid w:val="000E5938"/>
    <w:rsid w:val="00160B9F"/>
    <w:rsid w:val="00170534"/>
    <w:rsid w:val="001B2232"/>
    <w:rsid w:val="00202BA5"/>
    <w:rsid w:val="002B45EF"/>
    <w:rsid w:val="003216E5"/>
    <w:rsid w:val="00382791"/>
    <w:rsid w:val="003A154A"/>
    <w:rsid w:val="003E1AF0"/>
    <w:rsid w:val="00494F9B"/>
    <w:rsid w:val="00510A6D"/>
    <w:rsid w:val="0052531D"/>
    <w:rsid w:val="005C2A25"/>
    <w:rsid w:val="005F14DF"/>
    <w:rsid w:val="00867D2E"/>
    <w:rsid w:val="00912089"/>
    <w:rsid w:val="009F522C"/>
    <w:rsid w:val="00A323C6"/>
    <w:rsid w:val="00A9592B"/>
    <w:rsid w:val="00B14268"/>
    <w:rsid w:val="00C42F33"/>
    <w:rsid w:val="00C5231A"/>
    <w:rsid w:val="00DB59EE"/>
    <w:rsid w:val="00DE5907"/>
    <w:rsid w:val="00E06C39"/>
    <w:rsid w:val="00E15758"/>
    <w:rsid w:val="00E33919"/>
    <w:rsid w:val="00E470C4"/>
    <w:rsid w:val="00EC1205"/>
    <w:rsid w:val="00FD2FC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91"/>
  </w:style>
  <w:style w:type="paragraph" w:styleId="Heading3">
    <w:name w:val="heading 3"/>
    <w:basedOn w:val="Normal"/>
    <w:next w:val="Normal"/>
    <w:link w:val="Heading3Char"/>
    <w:uiPriority w:val="9"/>
    <w:semiHidden/>
    <w:unhideWhenUsed/>
    <w:qFormat/>
    <w:rsid w:val="001B22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B223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2232"/>
    <w:rPr>
      <w:rFonts w:ascii="Times New Roman" w:eastAsia="Times New Roman" w:hAnsi="Times New Roman" w:cs="Times New Roman"/>
      <w:b/>
      <w:bCs/>
      <w:kern w:val="0"/>
      <w:sz w:val="24"/>
      <w:szCs w:val="24"/>
      <w:lang w:eastAsia="en-IN"/>
    </w:rPr>
  </w:style>
  <w:style w:type="paragraph" w:styleId="NormalWeb">
    <w:name w:val="Normal (Web)"/>
    <w:basedOn w:val="Normal"/>
    <w:uiPriority w:val="99"/>
    <w:semiHidden/>
    <w:unhideWhenUsed/>
    <w:rsid w:val="001B223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1B2232"/>
    <w:rPr>
      <w:b/>
      <w:bCs/>
    </w:rPr>
  </w:style>
  <w:style w:type="character" w:customStyle="1" w:styleId="Heading3Char">
    <w:name w:val="Heading 3 Char"/>
    <w:basedOn w:val="DefaultParagraphFont"/>
    <w:link w:val="Heading3"/>
    <w:uiPriority w:val="9"/>
    <w:semiHidden/>
    <w:rsid w:val="001B223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F1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4DF"/>
  </w:style>
  <w:style w:type="paragraph" w:styleId="Footer">
    <w:name w:val="footer"/>
    <w:basedOn w:val="Normal"/>
    <w:link w:val="FooterChar"/>
    <w:uiPriority w:val="99"/>
    <w:unhideWhenUsed/>
    <w:rsid w:val="005F1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4DF"/>
  </w:style>
  <w:style w:type="paragraph" w:styleId="BalloonText">
    <w:name w:val="Balloon Text"/>
    <w:basedOn w:val="Normal"/>
    <w:link w:val="BalloonTextChar"/>
    <w:uiPriority w:val="99"/>
    <w:semiHidden/>
    <w:unhideWhenUsed/>
    <w:rsid w:val="00C5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31A"/>
    <w:rPr>
      <w:rFonts w:ascii="Tahoma" w:hAnsi="Tahoma" w:cs="Tahoma"/>
      <w:sz w:val="16"/>
      <w:szCs w:val="16"/>
    </w:rPr>
  </w:style>
  <w:style w:type="paragraph" w:styleId="ListParagraph">
    <w:name w:val="List Paragraph"/>
    <w:basedOn w:val="Normal"/>
    <w:uiPriority w:val="34"/>
    <w:qFormat/>
    <w:rsid w:val="003A154A"/>
    <w:pPr>
      <w:ind w:left="720"/>
      <w:contextualSpacing/>
    </w:pPr>
    <w:rPr>
      <w:rFonts w:eastAsiaTheme="minorEastAsia"/>
      <w:kern w:val="0"/>
      <w:lang w:val="en-US"/>
    </w:rPr>
  </w:style>
  <w:style w:type="paragraph" w:styleId="NoSpacing">
    <w:name w:val="No Spacing"/>
    <w:uiPriority w:val="1"/>
    <w:qFormat/>
    <w:rsid w:val="003A154A"/>
    <w:pPr>
      <w:spacing w:after="0" w:line="240" w:lineRule="auto"/>
    </w:pPr>
    <w:rPr>
      <w:rFonts w:eastAsiaTheme="minorEastAsia"/>
      <w:kern w:val="0"/>
      <w:lang w:val="en-US"/>
    </w:rPr>
  </w:style>
  <w:style w:type="table" w:styleId="TableGrid">
    <w:name w:val="Table Grid"/>
    <w:basedOn w:val="TableNormal"/>
    <w:uiPriority w:val="59"/>
    <w:rsid w:val="003A154A"/>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A154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6859527">
      <w:bodyDiv w:val="1"/>
      <w:marLeft w:val="0"/>
      <w:marRight w:val="0"/>
      <w:marTop w:val="0"/>
      <w:marBottom w:val="0"/>
      <w:divBdr>
        <w:top w:val="none" w:sz="0" w:space="0" w:color="auto"/>
        <w:left w:val="none" w:sz="0" w:space="0" w:color="auto"/>
        <w:bottom w:val="none" w:sz="0" w:space="0" w:color="auto"/>
        <w:right w:val="none" w:sz="0" w:space="0" w:color="auto"/>
      </w:divBdr>
    </w:div>
    <w:div w:id="979116429">
      <w:bodyDiv w:val="1"/>
      <w:marLeft w:val="0"/>
      <w:marRight w:val="0"/>
      <w:marTop w:val="0"/>
      <w:marBottom w:val="0"/>
      <w:divBdr>
        <w:top w:val="none" w:sz="0" w:space="0" w:color="auto"/>
        <w:left w:val="none" w:sz="0" w:space="0" w:color="auto"/>
        <w:bottom w:val="none" w:sz="0" w:space="0" w:color="auto"/>
        <w:right w:val="none" w:sz="0" w:space="0" w:color="auto"/>
      </w:divBdr>
    </w:div>
    <w:div w:id="1037202328">
      <w:bodyDiv w:val="1"/>
      <w:marLeft w:val="0"/>
      <w:marRight w:val="0"/>
      <w:marTop w:val="0"/>
      <w:marBottom w:val="0"/>
      <w:divBdr>
        <w:top w:val="none" w:sz="0" w:space="0" w:color="auto"/>
        <w:left w:val="none" w:sz="0" w:space="0" w:color="auto"/>
        <w:bottom w:val="none" w:sz="0" w:space="0" w:color="auto"/>
        <w:right w:val="none" w:sz="0" w:space="0" w:color="auto"/>
      </w:divBdr>
    </w:div>
    <w:div w:id="1086148175">
      <w:bodyDiv w:val="1"/>
      <w:marLeft w:val="0"/>
      <w:marRight w:val="0"/>
      <w:marTop w:val="0"/>
      <w:marBottom w:val="0"/>
      <w:divBdr>
        <w:top w:val="none" w:sz="0" w:space="0" w:color="auto"/>
        <w:left w:val="none" w:sz="0" w:space="0" w:color="auto"/>
        <w:bottom w:val="none" w:sz="0" w:space="0" w:color="auto"/>
        <w:right w:val="none" w:sz="0" w:space="0" w:color="auto"/>
      </w:divBdr>
    </w:div>
    <w:div w:id="13704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NAGAMANI G</dc:creator>
  <cp:keywords/>
  <dc:description/>
  <cp:lastModifiedBy>SATISH</cp:lastModifiedBy>
  <cp:revision>9</cp:revision>
  <cp:lastPrinted>2024-09-23T06:54:00Z</cp:lastPrinted>
  <dcterms:created xsi:type="dcterms:W3CDTF">2024-06-28T06:13:00Z</dcterms:created>
  <dcterms:modified xsi:type="dcterms:W3CDTF">2024-09-23T06:55:00Z</dcterms:modified>
</cp:coreProperties>
</file>